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mbria" w:cs="Cambria" w:hAnsi="Cambria" w:eastAsia="Cambria"/>
          <w:b w:val="1"/>
          <w:bCs w:val="1"/>
          <w:sz w:val="20"/>
          <w:szCs w:val="20"/>
        </w:rPr>
      </w:pPr>
      <w:r>
        <w:rPr>
          <w:rFonts w:ascii="Cambria" w:cs="Cambria" w:hAnsi="Cambria" w:eastAsia="Cambria"/>
          <w:b w:val="1"/>
          <w:bCs w:val="1"/>
          <w:sz w:val="20"/>
          <w:szCs w:val="20"/>
          <w:rtl w:val="0"/>
          <w:lang w:val="de-DE"/>
        </w:rPr>
        <w:t>PCUSA RESOURCES FOR CONGREGATIONAL RESPONSE TO GUN VIOLENCE</w:t>
      </w:r>
    </w:p>
    <w:p>
      <w:pPr>
        <w:pStyle w:val="Body"/>
        <w:rPr>
          <w:rFonts w:ascii="Cambria" w:cs="Cambria" w:hAnsi="Cambria" w:eastAsia="Cambria"/>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Gun Violence, Gospel Values</w:t>
      </w:r>
      <w:r>
        <w:rPr>
          <w:rFonts w:ascii="Cambria" w:cs="Cambria" w:hAnsi="Cambria" w:eastAsia="Cambria"/>
          <w:sz w:val="20"/>
          <w:szCs w:val="20"/>
          <w:rtl w:val="0"/>
          <w:lang w:val="en-US"/>
        </w:rPr>
        <w:t>, a report with recommendations adopted by the 2010 General Assembly. The Advisory Committee on Social Witness Policy study team that produced this included a former police officer, a hunter, an urban church minister/professor, a sociologist, a campus minister from Virginia Tech, and the leader of Heeding God</w:t>
      </w:r>
      <w:r>
        <w:rPr>
          <w:rFonts w:ascii="Cambria" w:cs="Cambria" w:hAnsi="Cambria" w:eastAsia="Cambria"/>
          <w:sz w:val="20"/>
          <w:szCs w:val="20"/>
          <w:rtl w:val="0"/>
          <w:lang w:val="en-US"/>
        </w:rPr>
        <w:t>’</w:t>
      </w:r>
      <w:r>
        <w:rPr>
          <w:rFonts w:ascii="Cambria" w:cs="Cambria" w:hAnsi="Cambria" w:eastAsia="Cambria"/>
          <w:sz w:val="20"/>
          <w:szCs w:val="20"/>
          <w:rtl w:val="0"/>
          <w:lang w:val="en-US"/>
        </w:rPr>
        <w:t xml:space="preserve">s Call, Philadelphia. This report looks at why previous </w:t>
      </w:r>
      <w:r>
        <w:rPr>
          <w:rFonts w:ascii="Cambria" w:cs="Cambria" w:hAnsi="Cambria" w:eastAsia="Cambria"/>
          <w:sz w:val="20"/>
          <w:szCs w:val="20"/>
          <w:rtl w:val="0"/>
          <w:lang w:val="en-US"/>
        </w:rPr>
        <w:t>“</w:t>
      </w:r>
      <w:r>
        <w:rPr>
          <w:rFonts w:ascii="Cambria" w:cs="Cambria" w:hAnsi="Cambria" w:eastAsia="Cambria"/>
          <w:sz w:val="20"/>
          <w:szCs w:val="20"/>
          <w:rtl w:val="0"/>
          <w:lang w:val="en-US"/>
        </w:rPr>
        <w:t>tipping points</w:t>
      </w:r>
      <w:r>
        <w:rPr>
          <w:rFonts w:ascii="Cambria" w:cs="Cambria" w:hAnsi="Cambria" w:eastAsia="Cambria"/>
          <w:sz w:val="20"/>
          <w:szCs w:val="20"/>
          <w:rtl w:val="0"/>
          <w:lang w:val="en-US"/>
        </w:rPr>
        <w:t xml:space="preserve">” </w:t>
      </w:r>
      <w:r>
        <w:rPr>
          <w:rFonts w:ascii="Cambria" w:cs="Cambria" w:hAnsi="Cambria" w:eastAsia="Cambria"/>
          <w:sz w:val="20"/>
          <w:szCs w:val="20"/>
          <w:rtl w:val="0"/>
          <w:lang w:val="en-US"/>
        </w:rPr>
        <w:t>have not, in fact, led to much adoption of protective laws.</w:t>
      </w:r>
    </w:p>
    <w:p>
      <w:pPr>
        <w:pStyle w:val="List Paragraph"/>
        <w:rPr>
          <w:rFonts w:ascii="Cambria" w:cs="Cambria" w:hAnsi="Cambria" w:eastAsia="Cambria"/>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 xml:space="preserve">Trigger: The Ripple Effects of Gun Violence; </w:t>
      </w:r>
      <w:r>
        <w:rPr>
          <w:rFonts w:ascii="Cambria" w:cs="Cambria" w:hAnsi="Cambria" w:eastAsia="Cambria"/>
          <w:sz w:val="20"/>
          <w:szCs w:val="20"/>
          <w:rtl w:val="0"/>
          <w:lang w:val="en-US"/>
        </w:rPr>
        <w:t>now available on Amazon Prime,</w:t>
      </w:r>
      <w:r>
        <w:rPr>
          <w:rFonts w:ascii="Cambria" w:cs="Cambria" w:hAnsi="Cambria" w:eastAsia="Cambria"/>
          <w:i w:val="1"/>
          <w:iCs w:val="1"/>
          <w:sz w:val="20"/>
          <w:szCs w:val="20"/>
          <w:rtl w:val="0"/>
          <w:lang w:val="en-US"/>
        </w:rPr>
        <w:t xml:space="preserve"> </w:t>
      </w:r>
      <w:r>
        <w:rPr>
          <w:rFonts w:ascii="Cambria" w:cs="Cambria" w:hAnsi="Cambria" w:eastAsia="Cambria"/>
          <w:sz w:val="20"/>
          <w:szCs w:val="20"/>
          <w:rtl w:val="0"/>
          <w:lang w:val="en-US"/>
        </w:rPr>
        <w:t xml:space="preserve">a documentary film done by Presbyterian Disaster Assistance, with a study guide and screening kit produced by the Presbyterian Peacemaking Program. </w:t>
      </w:r>
    </w:p>
    <w:p>
      <w:pPr>
        <w:pStyle w:val="List Paragraph"/>
        <w:rPr>
          <w:rFonts w:ascii="Cambria" w:cs="Cambria" w:hAnsi="Cambria" w:eastAsia="Cambria"/>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 xml:space="preserve">How PDA Responds to Public Violence </w:t>
      </w:r>
      <w:r>
        <w:rPr>
          <w:rFonts w:ascii="Cambria" w:cs="Cambria" w:hAnsi="Cambria" w:eastAsia="Cambria"/>
          <w:sz w:val="20"/>
          <w:szCs w:val="20"/>
          <w:rtl w:val="0"/>
          <w:lang w:val="en-US"/>
        </w:rPr>
        <w:t>overviews the resources Presbyterian Disaster Assistance can provide to support mid councils and congregations, including grants, trained volunteer response teams who go out to help communities deal with these unnatural disasters, and long term spiritual and emotional care and resilience training for leaders dealing with the aftermath of public violence events in their community.</w:t>
      </w:r>
    </w:p>
    <w:p>
      <w:pPr>
        <w:pStyle w:val="Body"/>
        <w:rPr>
          <w:rFonts w:ascii="Cambria" w:cs="Cambria" w:hAnsi="Cambria" w:eastAsia="Cambria"/>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Standing Our Holy Ground</w:t>
      </w:r>
      <w:r>
        <w:rPr>
          <w:rFonts w:ascii="Cambria" w:cs="Cambria" w:hAnsi="Cambria" w:eastAsia="Cambria"/>
          <w:sz w:val="20"/>
          <w:szCs w:val="20"/>
          <w:rtl w:val="0"/>
          <w:lang w:val="en-US"/>
        </w:rPr>
        <w:t>, an ongoing series of webinars on gun violence led by the Peacemaking Program.</w:t>
      </w:r>
    </w:p>
    <w:p>
      <w:pPr>
        <w:pStyle w:val="List Paragraph"/>
        <w:rPr>
          <w:rFonts w:ascii="Cambria" w:cs="Cambria" w:hAnsi="Cambria" w:eastAsia="Cambria"/>
          <w:i w:val="1"/>
          <w:iCs w:val="1"/>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No Guns in God</w:t>
      </w:r>
      <w:r>
        <w:rPr>
          <w:rFonts w:ascii="Cambria" w:cs="Cambria" w:hAnsi="Cambria" w:eastAsia="Cambria"/>
          <w:i w:val="1"/>
          <w:iCs w:val="1"/>
          <w:sz w:val="20"/>
          <w:szCs w:val="20"/>
          <w:rtl w:val="0"/>
          <w:lang w:val="en-US"/>
        </w:rPr>
        <w:t>’</w:t>
      </w:r>
      <w:r>
        <w:rPr>
          <w:rFonts w:ascii="Cambria" w:cs="Cambria" w:hAnsi="Cambria" w:eastAsia="Cambria"/>
          <w:i w:val="1"/>
          <w:iCs w:val="1"/>
          <w:sz w:val="20"/>
          <w:szCs w:val="20"/>
          <w:rtl w:val="0"/>
          <w:lang w:val="en-US"/>
        </w:rPr>
        <w:t>s House</w:t>
      </w:r>
      <w:r>
        <w:rPr>
          <w:rFonts w:ascii="Cambria" w:cs="Cambria" w:hAnsi="Cambria" w:eastAsia="Cambria"/>
          <w:sz w:val="20"/>
          <w:szCs w:val="20"/>
          <w:rtl w:val="0"/>
          <w:lang w:val="en-US"/>
        </w:rPr>
        <w:t xml:space="preserve"> card and sticker, prepared following the 2012 General Assembly action, by the Presbyterian Peacemaking Program.</w:t>
      </w:r>
    </w:p>
    <w:p>
      <w:pPr>
        <w:pStyle w:val="Body"/>
        <w:rPr>
          <w:rFonts w:ascii="Cambria" w:cs="Cambria" w:hAnsi="Cambria" w:eastAsia="Cambria"/>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 xml:space="preserve">End Gun Violence </w:t>
      </w:r>
      <w:r>
        <w:rPr>
          <w:rFonts w:ascii="Cambria" w:cs="Cambria" w:hAnsi="Cambria" w:eastAsia="Cambria"/>
          <w:sz w:val="20"/>
          <w:szCs w:val="20"/>
          <w:rtl w:val="0"/>
          <w:lang w:val="en-US"/>
        </w:rPr>
        <w:t xml:space="preserve">postcard, to be mailed back to the Office of Public Witness in Washington, DC. </w:t>
      </w:r>
    </w:p>
    <w:p>
      <w:pPr>
        <w:pStyle w:val="Body"/>
        <w:rPr>
          <w:rFonts w:ascii="Cambria" w:cs="Cambria" w:hAnsi="Cambria" w:eastAsia="Cambria"/>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 xml:space="preserve">Holy Discontentment; </w:t>
      </w:r>
      <w:r>
        <w:rPr>
          <w:rFonts w:ascii="Cambria" w:cs="Cambria" w:hAnsi="Cambria" w:eastAsia="Cambria"/>
          <w:sz w:val="20"/>
          <w:szCs w:val="20"/>
          <w:rtl w:val="0"/>
          <w:lang w:val="en-US"/>
        </w:rPr>
        <w:t>a booklet on grassroots advocacy and organizing in the PCUSA.</w:t>
      </w:r>
    </w:p>
    <w:p>
      <w:pPr>
        <w:pStyle w:val="Body"/>
        <w:rPr>
          <w:rFonts w:ascii="Cambria" w:cs="Cambria" w:hAnsi="Cambria" w:eastAsia="Cambria"/>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10 Things You Can Do to End Gun Violence.</w:t>
      </w:r>
    </w:p>
    <w:p>
      <w:pPr>
        <w:pStyle w:val="List Paragraph"/>
        <w:rPr>
          <w:rFonts w:ascii="Cambria" w:cs="Cambria" w:hAnsi="Cambria" w:eastAsia="Cambria"/>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 xml:space="preserve">We Choose Welcome, </w:t>
      </w:r>
      <w:r>
        <w:rPr>
          <w:rFonts w:ascii="Cambria" w:cs="Cambria" w:hAnsi="Cambria" w:eastAsia="Cambria"/>
          <w:sz w:val="20"/>
          <w:szCs w:val="20"/>
          <w:rtl w:val="0"/>
          <w:lang w:val="en-US"/>
        </w:rPr>
        <w:t xml:space="preserve">a PCUSA campaign of welcoming the stranger, with links to information and the downloadable multi-lingual poster. </w:t>
      </w:r>
    </w:p>
    <w:p>
      <w:pPr>
        <w:pStyle w:val="List Paragraph"/>
        <w:rPr>
          <w:rFonts w:ascii="Cambria" w:cs="Cambria" w:hAnsi="Cambria" w:eastAsia="Cambria"/>
          <w:sz w:val="20"/>
          <w:szCs w:val="20"/>
        </w:rPr>
      </w:pPr>
    </w:p>
    <w:p>
      <w:pPr>
        <w:pStyle w:val="List Paragraph"/>
        <w:numPr>
          <w:ilvl w:val="0"/>
          <w:numId w:val="2"/>
        </w:numPr>
        <w:bidi w:val="0"/>
        <w:ind w:right="0"/>
        <w:jc w:val="left"/>
        <w:rPr>
          <w:rFonts w:ascii="Cambria" w:cs="Cambria" w:hAnsi="Cambria" w:eastAsia="Cambria"/>
          <w:sz w:val="20"/>
          <w:szCs w:val="20"/>
          <w:rtl w:val="0"/>
          <w:lang w:val="en-US"/>
        </w:rPr>
      </w:pPr>
      <w:r>
        <w:rPr>
          <w:rFonts w:ascii="Cambria" w:cs="Cambria" w:hAnsi="Cambria" w:eastAsia="Cambria"/>
          <w:i w:val="1"/>
          <w:iCs w:val="1"/>
          <w:sz w:val="20"/>
          <w:szCs w:val="20"/>
          <w:rtl w:val="0"/>
          <w:lang w:val="en-US"/>
        </w:rPr>
        <w:t xml:space="preserve">Congregational Toolkit for Gun Violence Prevention </w:t>
      </w:r>
      <w:r>
        <w:rPr>
          <w:rFonts w:ascii="Cambria" w:cs="Cambria" w:hAnsi="Cambria" w:eastAsia="Cambria"/>
          <w:sz w:val="20"/>
          <w:szCs w:val="20"/>
          <w:rtl w:val="0"/>
          <w:lang w:val="en-US"/>
        </w:rPr>
        <w:t>and additional resources from Presbyterian Peace Fellowship (</w:t>
      </w:r>
      <w:r>
        <w:rPr>
          <w:rFonts w:ascii="Cambria" w:cs="Cambria" w:hAnsi="Cambria" w:eastAsia="Cambria"/>
          <w:outline w:val="0"/>
          <w:color w:val="0070c0"/>
          <w:sz w:val="20"/>
          <w:szCs w:val="20"/>
          <w:u w:val="single" w:color="0070c0"/>
          <w:rtl w:val="0"/>
          <w:lang w:val="en-US"/>
          <w14:textFill>
            <w14:solidFill>
              <w14:srgbClr w14:val="0070C0"/>
            </w14:solidFill>
          </w14:textFill>
        </w:rPr>
        <w:t>https://staging.presbypeacefellowship.org//gun-violence/congregational-toolkit</w:t>
      </w:r>
      <w:r>
        <w:rPr>
          <w:rFonts w:ascii="Cambria" w:cs="Cambria" w:hAnsi="Cambria" w:eastAsia="Cambria"/>
          <w:sz w:val="20"/>
          <w:szCs w:val="20"/>
          <w:rtl w:val="0"/>
          <w:lang w:val="en-US"/>
        </w:rPr>
        <w:t>/)</w:t>
      </w:r>
    </w:p>
    <w:p>
      <w:pPr>
        <w:pStyle w:val="List Paragraph"/>
        <w:rPr>
          <w:rFonts w:ascii="Cambria" w:cs="Cambria" w:hAnsi="Cambria" w:eastAsia="Cambria"/>
          <w:sz w:val="20"/>
          <w:szCs w:val="20"/>
        </w:rPr>
      </w:pPr>
    </w:p>
    <w:p>
      <w:pPr>
        <w:pStyle w:val="Body"/>
        <w:rPr>
          <w:rFonts w:ascii="Cambria" w:cs="Cambria" w:hAnsi="Cambria" w:eastAsia="Cambria"/>
          <w:sz w:val="20"/>
          <w:szCs w:val="20"/>
        </w:rPr>
      </w:pPr>
      <w:r>
        <w:rPr>
          <w:rFonts w:ascii="Cambria" w:cs="Cambria" w:hAnsi="Cambria" w:eastAsia="Cambria"/>
          <w:sz w:val="20"/>
          <w:szCs w:val="20"/>
          <w:rtl w:val="0"/>
          <w:lang w:val="en-US"/>
        </w:rPr>
        <w:t xml:space="preserve">The staff of the program areas in the Ministries of Compassion, Peace and Justice who have provided these resources are available to support mid councils and congregations in the efforts you are making to seek peace and pursue it in the communities you serve.  These resources and this mailing have been funded through resources designated in Presbyterian Disaster Assistance for supporting congregational response after mass violence events and from the Presbyterian Peacemaking Program which is funded through the Peace and Global Witness offering.  </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cs="Cambria" w:hAnsi="Cambria" w:eastAsia="Cambria"/>
          <w:sz w:val="20"/>
          <w:szCs w:val="20"/>
          <w:rtl w:val="0"/>
          <w:lang w:val="en-US"/>
        </w:rPr>
        <w:t xml:space="preserve">Laurie Kraus, Associate Director, Compassion, Peace, and Justice and Director, </w:t>
      </w:r>
    </w:p>
    <w:p>
      <w:pPr>
        <w:pStyle w:val="Body"/>
        <w:rPr>
          <w:rFonts w:ascii="Cambria" w:cs="Cambria" w:hAnsi="Cambria" w:eastAsia="Cambria"/>
          <w:sz w:val="20"/>
          <w:szCs w:val="20"/>
        </w:rPr>
      </w:pPr>
      <w:r>
        <w:rPr>
          <w:rFonts w:ascii="Cambria" w:cs="Cambria" w:hAnsi="Cambria" w:eastAsia="Cambria"/>
          <w:sz w:val="20"/>
          <w:szCs w:val="20"/>
          <w:rtl w:val="0"/>
        </w:rPr>
        <w:tab/>
        <w:t xml:space="preserve">Presbyterian Disaster Assistance   </w:t>
      </w:r>
      <w:r>
        <w:rPr>
          <w:rStyle w:val="Hyperlink.0"/>
        </w:rPr>
        <w:fldChar w:fldCharType="begin" w:fldLock="0"/>
      </w:r>
      <w:r>
        <w:rPr>
          <w:rStyle w:val="Hyperlink.0"/>
        </w:rPr>
        <w:instrText xml:space="preserve"> HYPERLINK "mailto:laurie.kraus@pcusa.org"</w:instrText>
      </w:r>
      <w:r>
        <w:rPr>
          <w:rStyle w:val="Hyperlink.0"/>
        </w:rPr>
        <w:fldChar w:fldCharType="separate" w:fldLock="0"/>
      </w:r>
      <w:r>
        <w:rPr>
          <w:rStyle w:val="Hyperlink.0"/>
          <w:rtl w:val="0"/>
        </w:rPr>
        <w:t>laurie.kraus@pcusa.org</w:t>
      </w:r>
      <w:r>
        <w:rPr/>
        <w:fldChar w:fldCharType="end" w:fldLock="0"/>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cs="Cambria" w:hAnsi="Cambria" w:eastAsia="Cambria"/>
          <w:sz w:val="20"/>
          <w:szCs w:val="20"/>
          <w:rtl w:val="0"/>
          <w:lang w:val="en-US"/>
        </w:rPr>
        <w:t xml:space="preserve">Jimmie Hawkins, Director, Office of Public Witness   </w:t>
      </w:r>
      <w:r>
        <w:rPr>
          <w:rStyle w:val="Hyperlink.0"/>
        </w:rPr>
        <w:fldChar w:fldCharType="begin" w:fldLock="0"/>
      </w:r>
      <w:r>
        <w:rPr>
          <w:rStyle w:val="Hyperlink.0"/>
        </w:rPr>
        <w:instrText xml:space="preserve"> HYPERLINK "mailto:jimmie.hawkins@pcusa.org"</w:instrText>
      </w:r>
      <w:r>
        <w:rPr>
          <w:rStyle w:val="Hyperlink.0"/>
        </w:rPr>
        <w:fldChar w:fldCharType="separate" w:fldLock="0"/>
      </w:r>
      <w:r>
        <w:rPr>
          <w:rStyle w:val="Hyperlink.0"/>
          <w:rtl w:val="0"/>
        </w:rPr>
        <w:t>jimmie.hawkins@pcusa.org</w:t>
      </w:r>
      <w:r>
        <w:rPr/>
        <w:fldChar w:fldCharType="end" w:fldLock="0"/>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cs="Cambria" w:hAnsi="Cambria" w:eastAsia="Cambria"/>
          <w:sz w:val="20"/>
          <w:szCs w:val="20"/>
          <w:rtl w:val="0"/>
          <w:lang w:val="en-US"/>
        </w:rPr>
        <w:t xml:space="preserve">Carl Horton, Coordinator, Presbyterian Peacemaking Program  </w:t>
      </w:r>
      <w:r>
        <w:rPr>
          <w:rStyle w:val="Hyperlink.0"/>
        </w:rPr>
        <w:fldChar w:fldCharType="begin" w:fldLock="0"/>
      </w:r>
      <w:r>
        <w:rPr>
          <w:rStyle w:val="Hyperlink.0"/>
        </w:rPr>
        <w:instrText xml:space="preserve"> HYPERLINK "mailto:carl.horton@pcusa.org"</w:instrText>
      </w:r>
      <w:r>
        <w:rPr>
          <w:rStyle w:val="Hyperlink.0"/>
        </w:rPr>
        <w:fldChar w:fldCharType="separate" w:fldLock="0"/>
      </w:r>
      <w:r>
        <w:rPr>
          <w:rStyle w:val="Hyperlink.0"/>
          <w:rtl w:val="0"/>
          <w:lang w:val="es-ES_tradnl"/>
        </w:rPr>
        <w:t>carl.horton@pcusa.org</w:t>
      </w:r>
      <w:r>
        <w:rPr/>
        <w:fldChar w:fldCharType="end" w:fldLock="0"/>
      </w:r>
    </w:p>
    <w:p>
      <w:pPr>
        <w:pStyle w:val="Body"/>
        <w:rPr>
          <w:rFonts w:ascii="Cambria" w:cs="Cambria" w:hAnsi="Cambria" w:eastAsia="Cambria"/>
          <w:sz w:val="20"/>
          <w:szCs w:val="20"/>
        </w:rPr>
      </w:pPr>
    </w:p>
    <w:p>
      <w:pPr>
        <w:pStyle w:val="Body"/>
      </w:pPr>
      <w:r>
        <w:rPr>
          <w:rFonts w:ascii="Cambria" w:cs="Cambria" w:hAnsi="Cambria" w:eastAsia="Cambria"/>
          <w:sz w:val="20"/>
          <w:szCs w:val="20"/>
          <w:rtl w:val="0"/>
          <w:lang w:val="en-US"/>
        </w:rPr>
        <w:t xml:space="preserve">Christian Iosso, Director, Advisory Committee on Social Witness Policy  </w:t>
      </w:r>
      <w:r>
        <w:rPr>
          <w:rStyle w:val="Hyperlink.0"/>
        </w:rPr>
        <w:fldChar w:fldCharType="begin" w:fldLock="0"/>
      </w:r>
      <w:r>
        <w:rPr>
          <w:rStyle w:val="Hyperlink.0"/>
        </w:rPr>
        <w:instrText xml:space="preserve"> HYPERLINK "mailto:christian.iosso@pcusa.org"</w:instrText>
      </w:r>
      <w:r>
        <w:rPr>
          <w:rStyle w:val="Hyperlink.0"/>
        </w:rPr>
        <w:fldChar w:fldCharType="separate" w:fldLock="0"/>
      </w:r>
      <w:r>
        <w:rPr>
          <w:rStyle w:val="Hyperlink.0"/>
          <w:rtl w:val="0"/>
          <w:lang w:val="it-IT"/>
        </w:rPr>
        <w:t>christian.iosso@pcusa.org</w:t>
      </w:r>
      <w:r>
        <w:rPr/>
        <w:fldChar w:fldCharType="end" w:fldLock="0"/>
      </w:r>
      <w:r>
        <w:rPr>
          <w:rFonts w:ascii="Cambria" w:cs="Cambria" w:hAnsi="Cambria" w:eastAsia="Cambria"/>
          <w:outline w:val="0"/>
          <w:color w:val="0070c0"/>
          <w:sz w:val="20"/>
          <w:szCs w:val="20"/>
          <w:u w:color="0070c0"/>
          <w:rtl w:val="0"/>
          <w14:textFill>
            <w14:solidFill>
              <w14:srgbClr w14:val="0070C0"/>
            </w14:solidFill>
          </w14:textFill>
        </w:rPr>
        <w:t xml:space="preserve"> </w:t>
      </w:r>
    </w:p>
    <w:sectPr>
      <w:headerReference w:type="default" r:id="rId4"/>
      <w:footerReference w:type="default" r:id="rId5"/>
      <w:pgSz w:w="12240" w:h="15840" w:orient="portrait"/>
      <w:pgMar w:top="2160" w:right="1440" w:bottom="1440" w:left="1440" w:header="547"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2900"/>
        <w:tab w:val="left" w:pos="3380"/>
        <w:tab w:val="clear" w:pos="4680"/>
        <w:tab w:val="clear" w:pos="9360"/>
      </w:tabs>
    </w:pPr>
    <w:r>
      <w:drawing>
        <wp:anchor distT="152400" distB="152400" distL="152400" distR="152400" simplePos="0" relativeHeight="251658240" behindDoc="1" locked="0" layoutInCell="1" allowOverlap="1">
          <wp:simplePos x="0" y="0"/>
          <wp:positionH relativeFrom="page">
            <wp:posOffset>-237490</wp:posOffset>
          </wp:positionH>
          <wp:positionV relativeFrom="page">
            <wp:posOffset>468630</wp:posOffset>
          </wp:positionV>
          <wp:extent cx="7891145" cy="631191"/>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7891145" cy="631191"/>
                  </a:xfrm>
                  <a:prstGeom prst="rect">
                    <a:avLst/>
                  </a:prstGeom>
                  <a:ln w="12700" cap="flat">
                    <a:noFill/>
                    <a:miter lim="400000"/>
                  </a:ln>
                  <a:effectLst/>
                </pic:spPr>
              </pic:pic>
            </a:graphicData>
          </a:graphic>
        </wp:anchor>
      </w:drawing>
    </w:r>
    <w:r>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mbria" w:cs="Cambria" w:hAnsi="Cambria" w:eastAsia="Cambria"/>
      <w:outline w:val="0"/>
      <w:color w:val="0070c0"/>
      <w:sz w:val="20"/>
      <w:szCs w:val="20"/>
      <w:u w:color="0070c0"/>
      <w14:textFill>
        <w14:solidFill>
          <w14:srgbClr w14:val="0070C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